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FF" w:rsidRDefault="009D54F4" w:rsidP="00257B66">
      <w:pPr>
        <w:pStyle w:val="Eiiey"/>
        <w:spacing w:before="0"/>
        <w:ind w:left="0" w:firstLine="0"/>
        <w:jc w:val="center"/>
        <w:rPr>
          <w:b/>
          <w:noProof/>
        </w:rPr>
      </w:pPr>
      <w:r w:rsidRPr="00B0311F">
        <w:rPr>
          <w:b/>
          <w:noProof/>
        </w:rPr>
        <w:drawing>
          <wp:inline distT="0" distB="0" distL="0" distR="0">
            <wp:extent cx="542925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39" w:rsidRPr="00FC6EEB" w:rsidRDefault="00507739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6"/>
        </w:rPr>
      </w:pPr>
      <w:r w:rsidRPr="00FC6EEB">
        <w:rPr>
          <w:rFonts w:ascii="Times New Roman" w:hAnsi="Times New Roman" w:cs="Times New Roman"/>
          <w:b/>
          <w:sz w:val="36"/>
        </w:rPr>
        <w:t>Совет депутатов</w:t>
      </w:r>
    </w:p>
    <w:p w:rsidR="00507739" w:rsidRPr="00FC6EEB" w:rsidRDefault="00507739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</w:rPr>
      </w:pPr>
      <w:r w:rsidRPr="00FC6EEB">
        <w:rPr>
          <w:rFonts w:ascii="Times New Roman" w:hAnsi="Times New Roman" w:cs="Times New Roman"/>
          <w:b/>
          <w:bCs/>
          <w:sz w:val="36"/>
        </w:rPr>
        <w:t>Лысковского муниципального округа</w:t>
      </w:r>
    </w:p>
    <w:p w:rsidR="00507739" w:rsidRPr="00FC6EEB" w:rsidRDefault="00507739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</w:rPr>
      </w:pPr>
      <w:r w:rsidRPr="00FC6EEB">
        <w:rPr>
          <w:rFonts w:ascii="Times New Roman" w:hAnsi="Times New Roman" w:cs="Times New Roman"/>
          <w:b/>
          <w:bCs/>
          <w:sz w:val="36"/>
        </w:rPr>
        <w:t>Нижегородской области</w:t>
      </w:r>
    </w:p>
    <w:p w:rsidR="00344990" w:rsidRDefault="00344990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7A307D" w:rsidRPr="00B0311F" w:rsidRDefault="007A307D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507739" w:rsidRPr="00FC6EEB" w:rsidRDefault="00507739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</w:rPr>
      </w:pPr>
      <w:r w:rsidRPr="00FC6EEB">
        <w:rPr>
          <w:rFonts w:ascii="Times New Roman" w:hAnsi="Times New Roman" w:cs="Times New Roman"/>
          <w:b/>
          <w:bCs/>
          <w:sz w:val="36"/>
        </w:rPr>
        <w:t>Р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</w:t>
      </w:r>
      <w:r w:rsidRPr="00FC6EEB">
        <w:rPr>
          <w:rFonts w:ascii="Times New Roman" w:hAnsi="Times New Roman" w:cs="Times New Roman"/>
          <w:b/>
          <w:bCs/>
          <w:sz w:val="36"/>
        </w:rPr>
        <w:t>Е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</w:t>
      </w:r>
      <w:r w:rsidRPr="00FC6EEB">
        <w:rPr>
          <w:rFonts w:ascii="Times New Roman" w:hAnsi="Times New Roman" w:cs="Times New Roman"/>
          <w:b/>
          <w:bCs/>
          <w:sz w:val="36"/>
        </w:rPr>
        <w:t>Ш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</w:t>
      </w:r>
      <w:r w:rsidRPr="00FC6EEB">
        <w:rPr>
          <w:rFonts w:ascii="Times New Roman" w:hAnsi="Times New Roman" w:cs="Times New Roman"/>
          <w:b/>
          <w:bCs/>
          <w:sz w:val="36"/>
        </w:rPr>
        <w:t>Е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</w:t>
      </w:r>
      <w:r w:rsidRPr="00FC6EEB">
        <w:rPr>
          <w:rFonts w:ascii="Times New Roman" w:hAnsi="Times New Roman" w:cs="Times New Roman"/>
          <w:b/>
          <w:bCs/>
          <w:sz w:val="36"/>
        </w:rPr>
        <w:t>Н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</w:t>
      </w:r>
      <w:r w:rsidRPr="00FC6EEB">
        <w:rPr>
          <w:rFonts w:ascii="Times New Roman" w:hAnsi="Times New Roman" w:cs="Times New Roman"/>
          <w:b/>
          <w:bCs/>
          <w:sz w:val="36"/>
        </w:rPr>
        <w:t>И</w:t>
      </w:r>
      <w:r w:rsidR="007822C4" w:rsidRPr="00FC6EEB">
        <w:rPr>
          <w:rFonts w:ascii="Times New Roman" w:hAnsi="Times New Roman" w:cs="Times New Roman"/>
          <w:b/>
          <w:bCs/>
          <w:sz w:val="36"/>
        </w:rPr>
        <w:t xml:space="preserve"> Е</w:t>
      </w:r>
    </w:p>
    <w:p w:rsidR="00507739" w:rsidRDefault="00507739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344990" w:rsidRPr="00B0311F" w:rsidRDefault="00344990" w:rsidP="00257B6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507739" w:rsidRDefault="00B44E22" w:rsidP="00257B66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5B4CB5">
        <w:rPr>
          <w:rFonts w:ascii="Times New Roman" w:hAnsi="Times New Roman" w:cs="Times New Roman"/>
        </w:rPr>
        <w:t xml:space="preserve"> </w:t>
      </w:r>
      <w:r w:rsidR="009F157E" w:rsidRPr="00B0311F">
        <w:rPr>
          <w:rFonts w:ascii="Times New Roman" w:hAnsi="Times New Roman" w:cs="Times New Roman"/>
        </w:rPr>
        <w:t>202</w:t>
      </w:r>
      <w:r w:rsidR="004373FF">
        <w:rPr>
          <w:rFonts w:ascii="Times New Roman" w:hAnsi="Times New Roman" w:cs="Times New Roman"/>
        </w:rPr>
        <w:t>6</w:t>
      </w:r>
      <w:r w:rsidR="00507739" w:rsidRPr="00B0311F">
        <w:rPr>
          <w:rFonts w:ascii="Times New Roman" w:hAnsi="Times New Roman" w:cs="Times New Roman"/>
        </w:rPr>
        <w:t xml:space="preserve"> г</w:t>
      </w:r>
      <w:r w:rsidR="007822C4" w:rsidRPr="00B0311F">
        <w:rPr>
          <w:rFonts w:ascii="Times New Roman" w:hAnsi="Times New Roman" w:cs="Times New Roman"/>
        </w:rPr>
        <w:t>.</w:t>
      </w:r>
      <w:r w:rsidR="00507739" w:rsidRPr="00B0311F">
        <w:rPr>
          <w:rFonts w:ascii="Times New Roman" w:hAnsi="Times New Roman" w:cs="Times New Roman"/>
        </w:rPr>
        <w:t xml:space="preserve">  </w:t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E516EC">
        <w:rPr>
          <w:rFonts w:ascii="Times New Roman" w:hAnsi="Times New Roman" w:cs="Times New Roman"/>
        </w:rPr>
        <w:tab/>
      </w:r>
      <w:r w:rsidR="00507739" w:rsidRPr="00B0311F">
        <w:rPr>
          <w:rFonts w:ascii="Times New Roman" w:hAnsi="Times New Roman" w:cs="Times New Roman"/>
        </w:rPr>
        <w:tab/>
      </w:r>
      <w:r w:rsidR="00507739" w:rsidRPr="00B0311F">
        <w:rPr>
          <w:rFonts w:ascii="Times New Roman" w:hAnsi="Times New Roman" w:cs="Times New Roman"/>
        </w:rPr>
        <w:tab/>
        <w:t xml:space="preserve"> </w:t>
      </w:r>
      <w:r w:rsidR="00AF30C5" w:rsidRPr="00B0311F">
        <w:rPr>
          <w:rFonts w:ascii="Times New Roman" w:hAnsi="Times New Roman" w:cs="Times New Roman"/>
        </w:rPr>
        <w:tab/>
      </w:r>
      <w:r w:rsidR="00507739" w:rsidRPr="00B0311F">
        <w:rPr>
          <w:rFonts w:ascii="Times New Roman" w:hAnsi="Times New Roman" w:cs="Times New Roman"/>
        </w:rPr>
        <w:t>№</w:t>
      </w:r>
      <w:r w:rsidR="005B4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40</w:t>
      </w:r>
    </w:p>
    <w:p w:rsidR="000821A8" w:rsidRPr="00027097" w:rsidRDefault="000821A8" w:rsidP="00257B66">
      <w:pPr>
        <w:pStyle w:val="Eiiey"/>
        <w:spacing w:before="0"/>
        <w:rPr>
          <w:rFonts w:ascii="Times New Roman" w:hAnsi="Times New Roman" w:cs="Times New Roman"/>
        </w:rPr>
      </w:pPr>
    </w:p>
    <w:p w:rsidR="00257B66" w:rsidRPr="00027097" w:rsidRDefault="00257B66" w:rsidP="00257B66">
      <w:pPr>
        <w:pStyle w:val="Eiiey"/>
        <w:spacing w:before="0"/>
        <w:rPr>
          <w:rFonts w:ascii="Times New Roman" w:hAnsi="Times New Roman" w:cs="Times New Roman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4551"/>
        <w:gridCol w:w="5408"/>
      </w:tblGrid>
      <w:tr w:rsidR="000821A8" w:rsidTr="00143FDE">
        <w:trPr>
          <w:trHeight w:val="1150"/>
        </w:trPr>
        <w:tc>
          <w:tcPr>
            <w:tcW w:w="4551" w:type="dxa"/>
          </w:tcPr>
          <w:p w:rsidR="000821A8" w:rsidRDefault="00BD77A4" w:rsidP="00257B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A1172B">
              <w:t>б о</w:t>
            </w:r>
            <w:r w:rsidR="000821A8" w:rsidRPr="009F157E">
              <w:t>тчет</w:t>
            </w:r>
            <w:r w:rsidR="00A1172B">
              <w:t>е</w:t>
            </w:r>
            <w:r>
              <w:t xml:space="preserve"> о деятельности контрольно-счетной комиссии </w:t>
            </w:r>
            <w:r w:rsidR="000821A8" w:rsidRPr="00B0311F">
              <w:t xml:space="preserve">Лысковского муниципального округа </w:t>
            </w:r>
            <w:r>
              <w:t xml:space="preserve">Нижегородской области </w:t>
            </w:r>
            <w:r w:rsidR="000821A8" w:rsidRPr="00B0311F">
              <w:t xml:space="preserve">за </w:t>
            </w:r>
            <w:r w:rsidR="00B93465">
              <w:t>202</w:t>
            </w:r>
            <w:r w:rsidR="004373FF">
              <w:t>5</w:t>
            </w:r>
            <w:r w:rsidR="00B93465">
              <w:t xml:space="preserve"> </w:t>
            </w:r>
            <w:r w:rsidR="000821A8" w:rsidRPr="009F157E">
              <w:t>год</w:t>
            </w:r>
          </w:p>
          <w:p w:rsidR="00143FDE" w:rsidRDefault="00143FDE" w:rsidP="00257B6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3FDE" w:rsidRDefault="00143FDE" w:rsidP="0025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8" w:type="dxa"/>
          </w:tcPr>
          <w:p w:rsidR="000821A8" w:rsidRDefault="000821A8" w:rsidP="00257B66"/>
        </w:tc>
      </w:tr>
    </w:tbl>
    <w:p w:rsidR="00E63619" w:rsidRPr="00B0311F" w:rsidRDefault="00507739" w:rsidP="00257B66">
      <w:pPr>
        <w:autoSpaceDE w:val="0"/>
        <w:autoSpaceDN w:val="0"/>
        <w:adjustRightInd w:val="0"/>
        <w:ind w:firstLine="709"/>
        <w:jc w:val="both"/>
      </w:pPr>
      <w:r w:rsidRPr="00B0311F">
        <w:rPr>
          <w:color w:val="000000"/>
        </w:rPr>
        <w:t xml:space="preserve">В соответствии с </w:t>
      </w:r>
      <w:r w:rsidR="005B7CD8" w:rsidRPr="00B0311F">
        <w:t>Уставом Лысковского муниципального округа Нижегородской области,</w:t>
      </w:r>
      <w:r w:rsidR="009F157E" w:rsidRPr="00B0311F">
        <w:t xml:space="preserve"> </w:t>
      </w:r>
      <w:r w:rsidR="006B0CEE">
        <w:t xml:space="preserve">Положением </w:t>
      </w:r>
      <w:r w:rsidR="006B0CEE" w:rsidRPr="006B0CEE">
        <w:t>о контрольно-счетной комиссии Лысковского муниципального округа Нижегородской области</w:t>
      </w:r>
      <w:r w:rsidR="006B0CEE">
        <w:t xml:space="preserve">, утвержденным решением Совета депутатов </w:t>
      </w:r>
      <w:r w:rsidR="006B0CEE" w:rsidRPr="006B0CEE">
        <w:t xml:space="preserve">Лысковского муниципального округа Нижегородской области </w:t>
      </w:r>
      <w:r w:rsidR="006B0CEE">
        <w:t xml:space="preserve">от </w:t>
      </w:r>
      <w:r w:rsidR="006B0CEE" w:rsidRPr="006B0CEE">
        <w:t>15 июня 2022 г. № 348</w:t>
      </w:r>
      <w:r w:rsidR="006B0CEE">
        <w:t xml:space="preserve">, </w:t>
      </w:r>
      <w:r w:rsidR="009F157E" w:rsidRPr="00B0311F">
        <w:t xml:space="preserve">заслушав и обсудив отчет председателя </w:t>
      </w:r>
      <w:r w:rsidR="00BD77A4">
        <w:t xml:space="preserve">контрольно-счетной комиссии </w:t>
      </w:r>
      <w:r w:rsidR="009F157E" w:rsidRPr="00B0311F">
        <w:t xml:space="preserve">Лысковского муниципального округа </w:t>
      </w:r>
      <w:r w:rsidR="00BD77A4">
        <w:t>Сонина Л.Ф</w:t>
      </w:r>
      <w:r w:rsidR="00B93465" w:rsidRPr="00B0311F">
        <w:t>.</w:t>
      </w:r>
      <w:r w:rsidR="00B93465">
        <w:t xml:space="preserve"> </w:t>
      </w:r>
      <w:r w:rsidR="00BD77A4">
        <w:t>о деятельности контрольно-счетной комиссии Лысковского муниципального округа</w:t>
      </w:r>
      <w:r w:rsidR="009F157E" w:rsidRPr="00B0311F">
        <w:t xml:space="preserve"> </w:t>
      </w:r>
      <w:r w:rsidR="00B74B54">
        <w:t xml:space="preserve">за </w:t>
      </w:r>
      <w:r w:rsidR="00B93465">
        <w:t>202</w:t>
      </w:r>
      <w:r w:rsidR="004373FF">
        <w:t>5</w:t>
      </w:r>
      <w:r w:rsidR="009F157E" w:rsidRPr="00B0311F">
        <w:t xml:space="preserve"> год,</w:t>
      </w:r>
    </w:p>
    <w:p w:rsidR="00EA3BC2" w:rsidRPr="00B0311F" w:rsidRDefault="00EA3BC2" w:rsidP="00257B66">
      <w:pPr>
        <w:jc w:val="center"/>
      </w:pPr>
    </w:p>
    <w:p w:rsidR="00507739" w:rsidRPr="00B0311F" w:rsidRDefault="00507739" w:rsidP="00257B66">
      <w:pPr>
        <w:jc w:val="center"/>
      </w:pPr>
      <w:r w:rsidRPr="00B0311F">
        <w:t>СОВЕТ ДЕПУТАТОВ РЕШИЛ:</w:t>
      </w:r>
    </w:p>
    <w:p w:rsidR="00EA3BC2" w:rsidRPr="00B0311F" w:rsidRDefault="00EA3BC2" w:rsidP="00257B66">
      <w:pPr>
        <w:jc w:val="center"/>
      </w:pPr>
    </w:p>
    <w:p w:rsidR="000C6EF6" w:rsidRDefault="009F157E" w:rsidP="00BD77A4">
      <w:pPr>
        <w:widowControl w:val="0"/>
        <w:autoSpaceDE w:val="0"/>
        <w:autoSpaceDN w:val="0"/>
        <w:adjustRightInd w:val="0"/>
        <w:ind w:firstLine="708"/>
        <w:jc w:val="both"/>
      </w:pPr>
      <w:r w:rsidRPr="009F157E">
        <w:t>1.</w:t>
      </w:r>
      <w:r w:rsidR="005A344F">
        <w:t xml:space="preserve"> </w:t>
      </w:r>
      <w:r w:rsidR="005A6B79">
        <w:t>П</w:t>
      </w:r>
      <w:r w:rsidR="005A6B79" w:rsidRPr="005A6B79">
        <w:t xml:space="preserve">ринять к сведению </w:t>
      </w:r>
      <w:r w:rsidR="00A1172B">
        <w:t xml:space="preserve">прилагаемый </w:t>
      </w:r>
      <w:r w:rsidR="005A6B79">
        <w:t>о</w:t>
      </w:r>
      <w:r w:rsidR="00BD77A4">
        <w:t>тчет о деятельности контрольно-счетной комиссии Лысковского муниципального округа Нижегородской области за 202</w:t>
      </w:r>
      <w:r w:rsidR="007818C2">
        <w:t>5</w:t>
      </w:r>
      <w:r w:rsidR="00BD77A4">
        <w:t xml:space="preserve"> год</w:t>
      </w:r>
      <w:r w:rsidR="00A2416F">
        <w:t>.</w:t>
      </w:r>
    </w:p>
    <w:p w:rsidR="009F177D" w:rsidRPr="009F157E" w:rsidRDefault="00860B8C" w:rsidP="009F177D">
      <w:pPr>
        <w:ind w:firstLine="708"/>
        <w:jc w:val="both"/>
      </w:pPr>
      <w:r>
        <w:t>2</w:t>
      </w:r>
      <w:r w:rsidR="00BD77A4">
        <w:t xml:space="preserve">. </w:t>
      </w:r>
      <w:r w:rsidR="008E67C7">
        <w:t>Р</w:t>
      </w:r>
      <w:r w:rsidR="008E67C7" w:rsidRPr="008E67C7">
        <w:t xml:space="preserve">азместить </w:t>
      </w:r>
      <w:r w:rsidR="008E67C7">
        <w:t>настоящее решение</w:t>
      </w:r>
      <w:r w:rsidR="005C062B" w:rsidRPr="005C062B">
        <w:t xml:space="preserve"> </w:t>
      </w:r>
      <w:r w:rsidR="00985849">
        <w:t xml:space="preserve">в </w:t>
      </w:r>
      <w:r w:rsidR="00985849" w:rsidRPr="00985849">
        <w:t>сетевом издании «Лысково-медиа»</w:t>
      </w:r>
      <w:r w:rsidR="005C062B">
        <w:t xml:space="preserve"> </w:t>
      </w:r>
      <w:r w:rsidR="006D7333">
        <w:t xml:space="preserve">                                                  </w:t>
      </w:r>
      <w:r w:rsidR="005C062B">
        <w:t>и</w:t>
      </w:r>
      <w:r w:rsidR="00985849">
        <w:t xml:space="preserve"> </w:t>
      </w:r>
      <w:r w:rsidR="009F177D" w:rsidRPr="009F157E">
        <w:t>на официальном са</w:t>
      </w:r>
      <w:r w:rsidR="009F177D" w:rsidRPr="00B0311F">
        <w:t>йте администрации Лысковского муниципального округа</w:t>
      </w:r>
      <w:r w:rsidR="005C062B">
        <w:t xml:space="preserve"> </w:t>
      </w:r>
      <w:r w:rsidR="00E10326">
        <w:t xml:space="preserve">Нижегородской области </w:t>
      </w:r>
      <w:bookmarkStart w:id="0" w:name="_GoBack"/>
      <w:bookmarkEnd w:id="0"/>
      <w:r w:rsidR="009F177D" w:rsidRPr="009F157E">
        <w:t>в информационно-телекоммуникационной сети «Интернет».</w:t>
      </w:r>
    </w:p>
    <w:p w:rsidR="00BD77A4" w:rsidRPr="001F3BFA" w:rsidRDefault="00BD77A4" w:rsidP="009F177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t xml:space="preserve"> </w:t>
      </w:r>
    </w:p>
    <w:p w:rsidR="00FF7695" w:rsidRDefault="00FF7695" w:rsidP="00B44461">
      <w:pPr>
        <w:ind w:firstLine="708"/>
        <w:jc w:val="both"/>
        <w:rPr>
          <w:color w:val="000000"/>
        </w:rPr>
      </w:pPr>
    </w:p>
    <w:p w:rsidR="00257B66" w:rsidRDefault="00257B66" w:rsidP="00257B66">
      <w:pPr>
        <w:rPr>
          <w:color w:val="000000"/>
        </w:rPr>
      </w:pPr>
    </w:p>
    <w:p w:rsidR="005A344F" w:rsidRPr="00B0311F" w:rsidRDefault="005A344F" w:rsidP="00257B66">
      <w:pPr>
        <w:pStyle w:val="ConsPlusTitle"/>
        <w:widowControl/>
        <w:overflowPunct w:val="0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0311F">
        <w:rPr>
          <w:rFonts w:ascii="Times New Roman" w:hAnsi="Times New Roman" w:cs="Times New Roman"/>
          <w:b w:val="0"/>
          <w:bCs w:val="0"/>
          <w:sz w:val="24"/>
          <w:szCs w:val="24"/>
        </w:rPr>
        <w:t>Председатель Совета депутатов</w:t>
      </w:r>
    </w:p>
    <w:p w:rsidR="00B0311F" w:rsidRPr="005A344F" w:rsidRDefault="005A344F" w:rsidP="00257B66">
      <w:pPr>
        <w:rPr>
          <w:color w:val="000000"/>
        </w:rPr>
      </w:pPr>
      <w:r w:rsidRPr="005A344F">
        <w:rPr>
          <w:bCs/>
        </w:rPr>
        <w:t>Лысковского муниципального округа</w:t>
      </w:r>
      <w:r w:rsidR="008763BA">
        <w:rPr>
          <w:bCs/>
        </w:rPr>
        <w:tab/>
      </w:r>
      <w:r w:rsidR="008763BA">
        <w:rPr>
          <w:bCs/>
        </w:rPr>
        <w:tab/>
      </w:r>
      <w:r w:rsidR="008763BA">
        <w:rPr>
          <w:bCs/>
        </w:rPr>
        <w:tab/>
      </w:r>
      <w:r w:rsidR="008763BA">
        <w:rPr>
          <w:bCs/>
        </w:rPr>
        <w:tab/>
      </w:r>
      <w:r w:rsidR="008763BA">
        <w:rPr>
          <w:bCs/>
        </w:rPr>
        <w:tab/>
      </w:r>
      <w:r w:rsidR="008763BA">
        <w:rPr>
          <w:bCs/>
        </w:rPr>
        <w:tab/>
      </w:r>
      <w:proofErr w:type="spellStart"/>
      <w:r w:rsidR="008763BA">
        <w:rPr>
          <w:bCs/>
        </w:rPr>
        <w:t>П.В.Чернышев</w:t>
      </w:r>
      <w:proofErr w:type="spellEnd"/>
    </w:p>
    <w:p w:rsidR="009F157E" w:rsidRPr="00B0311F" w:rsidRDefault="009F157E" w:rsidP="00257B66"/>
    <w:p w:rsidR="009F157E" w:rsidRPr="00B0311F" w:rsidRDefault="009F157E" w:rsidP="00257B66">
      <w:pPr>
        <w:spacing w:after="120"/>
        <w:jc w:val="right"/>
        <w:rPr>
          <w:rFonts w:eastAsia="Calibri"/>
          <w:lang w:eastAsia="en-US"/>
        </w:rPr>
      </w:pPr>
      <w:bookmarkStart w:id="1" w:name="sub_11"/>
    </w:p>
    <w:p w:rsidR="009F157E" w:rsidRPr="00B0311F" w:rsidRDefault="009F157E" w:rsidP="00257B66">
      <w:pPr>
        <w:spacing w:after="120"/>
        <w:jc w:val="right"/>
        <w:rPr>
          <w:rFonts w:eastAsia="Calibri"/>
          <w:lang w:eastAsia="en-US"/>
        </w:rPr>
      </w:pPr>
    </w:p>
    <w:p w:rsidR="009F157E" w:rsidRDefault="009F157E" w:rsidP="00257B66">
      <w:pPr>
        <w:spacing w:after="120"/>
        <w:jc w:val="right"/>
        <w:rPr>
          <w:rFonts w:eastAsia="Calibri"/>
          <w:lang w:eastAsia="en-US"/>
        </w:rPr>
      </w:pPr>
    </w:p>
    <w:p w:rsidR="005B4CB5" w:rsidRDefault="005B4CB5" w:rsidP="00257B66">
      <w:pPr>
        <w:spacing w:after="120"/>
        <w:jc w:val="right"/>
        <w:rPr>
          <w:rFonts w:eastAsia="Calibri"/>
          <w:lang w:eastAsia="en-US"/>
        </w:rPr>
      </w:pPr>
    </w:p>
    <w:p w:rsidR="00E04A08" w:rsidRDefault="00E04A08" w:rsidP="00257B66">
      <w:pPr>
        <w:spacing w:after="120"/>
        <w:jc w:val="right"/>
        <w:rPr>
          <w:rFonts w:eastAsia="Calibri"/>
          <w:lang w:eastAsia="en-US"/>
        </w:rPr>
      </w:pPr>
    </w:p>
    <w:p w:rsidR="008763BA" w:rsidRDefault="008763BA" w:rsidP="00257B66">
      <w:pPr>
        <w:spacing w:after="120"/>
        <w:jc w:val="right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3"/>
      </w:tblGrid>
      <w:tr w:rsidR="00997361" w:rsidRPr="00D6728E" w:rsidTr="00D6728E">
        <w:tc>
          <w:tcPr>
            <w:tcW w:w="4927" w:type="dxa"/>
          </w:tcPr>
          <w:p w:rsidR="00997361" w:rsidRPr="00D6728E" w:rsidRDefault="00997361" w:rsidP="00D6728E">
            <w:pPr>
              <w:spacing w:after="12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</w:tcPr>
          <w:p w:rsidR="00997361" w:rsidRPr="00D6728E" w:rsidRDefault="00A1172B" w:rsidP="00D6728E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</w:t>
            </w:r>
          </w:p>
          <w:p w:rsidR="00997361" w:rsidRPr="00D6728E" w:rsidRDefault="00A1172B" w:rsidP="00D6728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 </w:t>
            </w:r>
            <w:r w:rsidR="00997361" w:rsidRPr="00D6728E">
              <w:rPr>
                <w:rFonts w:eastAsia="Calibri"/>
                <w:sz w:val="24"/>
                <w:szCs w:val="24"/>
                <w:lang w:eastAsia="en-US"/>
              </w:rPr>
              <w:t>решени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997361" w:rsidRPr="00D6728E">
              <w:rPr>
                <w:rFonts w:eastAsia="Calibri"/>
                <w:sz w:val="24"/>
                <w:szCs w:val="24"/>
                <w:lang w:eastAsia="en-US"/>
              </w:rPr>
              <w:t xml:space="preserve"> Совета </w:t>
            </w:r>
            <w:r w:rsidR="00997361" w:rsidRPr="00D6728E">
              <w:rPr>
                <w:sz w:val="24"/>
                <w:szCs w:val="24"/>
              </w:rPr>
              <w:t>депутатов</w:t>
            </w:r>
          </w:p>
          <w:p w:rsidR="00997361" w:rsidRPr="00D6728E" w:rsidRDefault="00997361" w:rsidP="00D6728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728E">
              <w:rPr>
                <w:rFonts w:eastAsia="Calibri"/>
                <w:sz w:val="24"/>
                <w:szCs w:val="24"/>
                <w:lang w:eastAsia="en-US"/>
              </w:rPr>
              <w:t>Лысковского муниципального округа</w:t>
            </w:r>
          </w:p>
          <w:p w:rsidR="00997361" w:rsidRPr="00D6728E" w:rsidRDefault="00997361" w:rsidP="00D6728E">
            <w:pPr>
              <w:pStyle w:val="af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728E">
              <w:rPr>
                <w:rFonts w:eastAsia="Calibri"/>
                <w:sz w:val="24"/>
                <w:szCs w:val="24"/>
                <w:lang w:eastAsia="en-US"/>
              </w:rPr>
              <w:t>Нижегородской области</w:t>
            </w:r>
          </w:p>
          <w:p w:rsidR="00997361" w:rsidRPr="00D6728E" w:rsidRDefault="00997361" w:rsidP="00D6728E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B0311F">
              <w:t xml:space="preserve">от </w:t>
            </w:r>
            <w:r w:rsidR="006D7333">
              <w:t>23 апреля</w:t>
            </w:r>
            <w:r w:rsidR="005B4CB5">
              <w:t xml:space="preserve"> 202</w:t>
            </w:r>
            <w:r w:rsidR="008763BA">
              <w:t>6</w:t>
            </w:r>
            <w:r w:rsidR="005B4CB5">
              <w:t xml:space="preserve"> г.</w:t>
            </w:r>
            <w:r w:rsidRPr="00B0311F">
              <w:t xml:space="preserve"> № </w:t>
            </w:r>
            <w:r w:rsidR="006D7333">
              <w:t>40</w:t>
            </w:r>
          </w:p>
        </w:tc>
      </w:tr>
      <w:bookmarkEnd w:id="1"/>
    </w:tbl>
    <w:p w:rsidR="005B4CB5" w:rsidRPr="005B4CB5" w:rsidRDefault="005B4CB5" w:rsidP="00464665">
      <w:pPr>
        <w:spacing w:line="276" w:lineRule="auto"/>
        <w:jc w:val="center"/>
        <w:rPr>
          <w:b/>
          <w:sz w:val="10"/>
          <w:szCs w:val="10"/>
        </w:rPr>
      </w:pPr>
    </w:p>
    <w:p w:rsidR="00997361" w:rsidRDefault="00997361" w:rsidP="001C5064">
      <w:pPr>
        <w:spacing w:after="120"/>
        <w:jc w:val="both"/>
        <w:rPr>
          <w:rFonts w:eastAsia="Calibri"/>
          <w:lang w:eastAsia="en-US"/>
        </w:rPr>
      </w:pPr>
    </w:p>
    <w:p w:rsidR="001C5064" w:rsidRPr="005B1446" w:rsidRDefault="001C5064" w:rsidP="009F2071">
      <w:pPr>
        <w:jc w:val="center"/>
      </w:pPr>
      <w:r w:rsidRPr="005B1446">
        <w:t>Отчет</w:t>
      </w:r>
    </w:p>
    <w:p w:rsidR="001C5064" w:rsidRPr="005B1446" w:rsidRDefault="001C5064" w:rsidP="009F2071">
      <w:pPr>
        <w:jc w:val="center"/>
      </w:pPr>
      <w:r w:rsidRPr="005B1446">
        <w:t>о деятельности контрольно</w:t>
      </w:r>
      <w:r w:rsidR="00944850" w:rsidRPr="005B1446">
        <w:t>-</w:t>
      </w:r>
      <w:r w:rsidRPr="005B1446">
        <w:t xml:space="preserve">счетной комиссии </w:t>
      </w:r>
    </w:p>
    <w:p w:rsidR="001C5064" w:rsidRPr="005B1446" w:rsidRDefault="001C5064" w:rsidP="009F2071">
      <w:pPr>
        <w:jc w:val="center"/>
      </w:pPr>
      <w:r w:rsidRPr="005B1446">
        <w:t>Лысковского муниципального округа Нижегородской области за 202</w:t>
      </w:r>
      <w:r w:rsidR="00A431B1" w:rsidRPr="005B1446">
        <w:t>5</w:t>
      </w:r>
      <w:r w:rsidRPr="005B1446">
        <w:t xml:space="preserve"> год</w:t>
      </w:r>
    </w:p>
    <w:p w:rsidR="001C5064" w:rsidRDefault="001C5064" w:rsidP="001C5064">
      <w:pPr>
        <w:jc w:val="both"/>
      </w:pPr>
    </w:p>
    <w:p w:rsidR="00A00CF4" w:rsidRP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Данный отчет подготовлен на основании требований статьи 19 Федерального закона от </w:t>
      </w:r>
      <w:r w:rsidR="00C47D46">
        <w:rPr>
          <w:szCs w:val="28"/>
        </w:rPr>
        <w:t>07.02.</w:t>
      </w:r>
      <w:r w:rsidRPr="00A00CF4">
        <w:rPr>
          <w:szCs w:val="28"/>
        </w:rPr>
        <w:t xml:space="preserve">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статьи 1 Положения о </w:t>
      </w:r>
      <w:r w:rsidR="008F5DCA">
        <w:rPr>
          <w:szCs w:val="28"/>
        </w:rPr>
        <w:t>к</w:t>
      </w:r>
      <w:r w:rsidRPr="00A00CF4">
        <w:rPr>
          <w:szCs w:val="28"/>
        </w:rPr>
        <w:t xml:space="preserve">онтрольно-счетной комиссии Лысковского муниципального округа. </w:t>
      </w:r>
      <w:r w:rsidR="008F5DCA">
        <w:rPr>
          <w:szCs w:val="28"/>
        </w:rPr>
        <w:t>к</w:t>
      </w:r>
      <w:r w:rsidRPr="00A00CF4">
        <w:rPr>
          <w:szCs w:val="28"/>
        </w:rPr>
        <w:t xml:space="preserve">онтрольно-счетная комиссия является постоянно действующим органом внешнего муниципального финансового контроля. На контрольно-счетную комиссию возложены обязанности по осуществлению контроля за законностью и эффективностью использования средств бюджета Лысковского муниципального округа, экспертиза проектов бюджета, внешняя проверка годового отчета об исполнении бюджета, проведение аудита в сфере закупок товаров, работ и услуг, экспертиза проектов муниципальных правовых актов в части касающейся расходных обязательств Лысковского муниципального округа, экспертиза и согласование муниципальных программ и другие функции. При осуществлении контрольной, экспертно-аналитической, организационно-методической, информационной и иных видов деятельности </w:t>
      </w:r>
      <w:r w:rsidR="004319C9">
        <w:rPr>
          <w:szCs w:val="28"/>
        </w:rPr>
        <w:t>к</w:t>
      </w:r>
      <w:r w:rsidRPr="00A00CF4">
        <w:rPr>
          <w:szCs w:val="28"/>
        </w:rPr>
        <w:t>онтрольно-счетная комиссия руководствовалась принципами законности, объективности, эффективности, независимости, открытости и гласности. Контрольно-счетная комиссия в 2025 году осуществляла свою деятельность на основе годового плана работы, который был утвержден 25 декабря 2024 года распоряжением председателя контрольно</w:t>
      </w:r>
      <w:r w:rsidR="009F0340">
        <w:rPr>
          <w:szCs w:val="28"/>
        </w:rPr>
        <w:t>-</w:t>
      </w:r>
      <w:r w:rsidRPr="00A00CF4">
        <w:rPr>
          <w:szCs w:val="28"/>
        </w:rPr>
        <w:t>счетной комиссии № 01-03/6. Все запланированные мероприятия в отчетном году выполнены в полном объеме.</w:t>
      </w:r>
    </w:p>
    <w:p w:rsidR="00CE4CEE" w:rsidRDefault="00CE4CEE" w:rsidP="000E4122">
      <w:pPr>
        <w:ind w:left="708"/>
        <w:jc w:val="center"/>
        <w:rPr>
          <w:szCs w:val="28"/>
        </w:rPr>
      </w:pPr>
    </w:p>
    <w:p w:rsidR="00A00CF4" w:rsidRDefault="000E4122" w:rsidP="000E4122">
      <w:pPr>
        <w:ind w:left="708"/>
        <w:jc w:val="center"/>
        <w:rPr>
          <w:szCs w:val="28"/>
        </w:rPr>
      </w:pPr>
      <w:r>
        <w:rPr>
          <w:szCs w:val="28"/>
        </w:rPr>
        <w:t>1.</w:t>
      </w:r>
      <w:r w:rsidR="009F0340">
        <w:rPr>
          <w:szCs w:val="28"/>
        </w:rPr>
        <w:t xml:space="preserve"> </w:t>
      </w:r>
      <w:r w:rsidR="00A00CF4" w:rsidRPr="00A00CF4">
        <w:rPr>
          <w:szCs w:val="28"/>
        </w:rPr>
        <w:t>Внешняя проверка по исполнению бюджета округа за 2025 год</w:t>
      </w:r>
    </w:p>
    <w:p w:rsidR="00A00CF4" w:rsidRPr="00A00CF4" w:rsidRDefault="00A00CF4" w:rsidP="0097675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В соответствии с требованиями ст.264.4 Бюджетного кодекса Российской Федерации в отчетном периоде комиссией проведена проверка годового отчета бюджета Лысковского муниципального округа за 2025 год. </w:t>
      </w:r>
    </w:p>
    <w:p w:rsidR="00A00CF4" w:rsidRPr="00A00CF4" w:rsidRDefault="00A00CF4" w:rsidP="0097675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Объем бюджетных средств, охваченных в ходе проведения внешней проверки, составил в сумме по доходам – 2 355 932,7 тыс. руб., по расходам – 2 384 527,8 тыс. руб. Были проанализированы отчеты 9 Главных распорядителей бюджетных средств. Это Управление финансов, Управление сельского хозяйства, Управление благоустройства и развития территорий, Управление образования и молодежной политики, Отдел культуры, развития спорта и туризма, Отдел капитального строительства, </w:t>
      </w:r>
      <w:r w:rsidR="00B71E8A">
        <w:rPr>
          <w:szCs w:val="28"/>
        </w:rPr>
        <w:t>а</w:t>
      </w:r>
      <w:r w:rsidRPr="00A00CF4">
        <w:rPr>
          <w:szCs w:val="28"/>
        </w:rPr>
        <w:t xml:space="preserve">дминистрация Лысковского муниципального округа, Совет депутатов, </w:t>
      </w:r>
      <w:r w:rsidR="0003053E">
        <w:rPr>
          <w:szCs w:val="28"/>
        </w:rPr>
        <w:t>к</w:t>
      </w:r>
      <w:r w:rsidRPr="00A00CF4">
        <w:rPr>
          <w:szCs w:val="28"/>
        </w:rPr>
        <w:t>онтрольно-счетная комиссия. При проведении внешней проверки проверена своевременность предоставления, полнота отчета об использовани</w:t>
      </w:r>
      <w:r w:rsidR="00AA5A13">
        <w:rPr>
          <w:szCs w:val="28"/>
        </w:rPr>
        <w:t>и</w:t>
      </w:r>
      <w:r w:rsidRPr="00A00CF4">
        <w:rPr>
          <w:szCs w:val="28"/>
        </w:rPr>
        <w:t xml:space="preserve"> бюджета, проведен анализ и оценка форм бюджетной отчетности, анализ пояснительных записок, сведения об исполнении мероприятий в рамках муниципальных целевых программ. В результате внешней проверки бюджетной отчетности существенных искажений не выявлено. Фактов, способных негативно повлиять на достоверность бюджетной отчетности, не установлено.</w:t>
      </w:r>
    </w:p>
    <w:p w:rsidR="000E4122" w:rsidRDefault="000E4122" w:rsidP="000E4122">
      <w:pPr>
        <w:ind w:firstLine="708"/>
        <w:jc w:val="center"/>
        <w:rPr>
          <w:szCs w:val="28"/>
        </w:rPr>
      </w:pPr>
    </w:p>
    <w:p w:rsidR="00A00CF4" w:rsidRPr="00A00CF4" w:rsidRDefault="000E4122" w:rsidP="000E4122">
      <w:pPr>
        <w:ind w:firstLine="708"/>
        <w:jc w:val="center"/>
        <w:rPr>
          <w:szCs w:val="28"/>
        </w:rPr>
      </w:pPr>
      <w:r>
        <w:rPr>
          <w:szCs w:val="28"/>
        </w:rPr>
        <w:t xml:space="preserve">2. </w:t>
      </w:r>
      <w:r w:rsidR="00A00CF4" w:rsidRPr="00A00CF4">
        <w:rPr>
          <w:szCs w:val="28"/>
        </w:rPr>
        <w:t>Контрольно</w:t>
      </w:r>
      <w:r w:rsidR="009F0340">
        <w:rPr>
          <w:szCs w:val="28"/>
        </w:rPr>
        <w:t>-</w:t>
      </w:r>
      <w:r w:rsidR="00A00CF4" w:rsidRPr="00A00CF4">
        <w:rPr>
          <w:szCs w:val="28"/>
        </w:rPr>
        <w:t>ревизионная деятельность.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Одним из главных направлений деятельности КСК в отчетном году является контроль за целевым и результативным (эффективным) использованием бюджетных средств, который </w:t>
      </w:r>
      <w:r w:rsidRPr="00A00CF4">
        <w:rPr>
          <w:szCs w:val="28"/>
        </w:rPr>
        <w:lastRenderedPageBreak/>
        <w:t>проводился посредством внешних проверок. Контрольные мероприятия проводились в соответствии с утвержденным планом работы КСК и Стандартом внешнего муниципального финансового контроля «Общие правила проведения контрольного мероприятия».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В течение года было проведено 3 контрольных мероприятия: 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Использование бюджетных средств</w:t>
      </w:r>
      <w:r w:rsidR="009F0340">
        <w:rPr>
          <w:szCs w:val="28"/>
        </w:rPr>
        <w:t>,</w:t>
      </w:r>
      <w:r w:rsidRPr="00A00CF4">
        <w:rPr>
          <w:szCs w:val="28"/>
        </w:rPr>
        <w:t xml:space="preserve"> выделенных Муниципальному казенному учреждению «Хозяйственно-эксплуатационная служба» Лысковского муниципального округа за 2024 год.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Использование бюджетных средств</w:t>
      </w:r>
      <w:r w:rsidR="009F0340">
        <w:rPr>
          <w:szCs w:val="28"/>
        </w:rPr>
        <w:t>,</w:t>
      </w:r>
      <w:r w:rsidRPr="00A00CF4">
        <w:rPr>
          <w:szCs w:val="28"/>
        </w:rPr>
        <w:t xml:space="preserve"> выделенных в 2024 году Управлению образования и молодежной политики на реализацию мероприятий по исполнению требований антитеррористической защищенности объектов образования.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Управление и распоряжение земельными ресурсами Лысковского муниципального округа, проверка договоров аренды земельных участков на предмет обоснованности расчета земельной платы и полноты её внесения в бюджет Лысковского муниципального округа за 2024 год.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При проверке МКУ «Хозяйственно-эксплуатационная служба» Лысковского муниципального округа установлены основные следующие нарушения: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- Федерального закона </w:t>
      </w:r>
      <w:r w:rsidR="009F0340" w:rsidRPr="00A00CF4">
        <w:rPr>
          <w:szCs w:val="28"/>
        </w:rPr>
        <w:t>от 06.12.2011 № 402</w:t>
      </w:r>
      <w:r w:rsidR="009F0340">
        <w:rPr>
          <w:szCs w:val="28"/>
        </w:rPr>
        <w:t>-</w:t>
      </w:r>
      <w:r w:rsidR="009F0340" w:rsidRPr="00A00CF4">
        <w:rPr>
          <w:szCs w:val="28"/>
        </w:rPr>
        <w:t xml:space="preserve">ФЗ </w:t>
      </w:r>
      <w:r w:rsidRPr="00A00CF4">
        <w:rPr>
          <w:szCs w:val="28"/>
        </w:rPr>
        <w:t>«О бухгалтерском учете» в части приемки первичных документов бухгалтерского учета;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- Приказ Министерства финансов Российской Федерации от 31.12.2016 № 256н п.81 СГС «Концептуальные основы бухгалтерского учета и отчетности организаций государственного сектора» в плане проведения обязательной инвентаризации при смене материально ответственных лиц;</w:t>
      </w:r>
      <w:r w:rsidR="009F0340">
        <w:rPr>
          <w:szCs w:val="28"/>
        </w:rPr>
        <w:t xml:space="preserve"> 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- Нарушение ст. 34 Бюджетного кодекса Российской Федерации в плане эффективности (экономности) при расходовании бюджетных средств;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- Постановления Правительства Российской Федерации от 16.09.2020 №1479 «Об утверждении Правил противопожарного режима в Российской Федерации» при хранении значительных объемов бензина в гараже;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- Федерального Закона от 24.06.1998 № 89</w:t>
      </w:r>
      <w:r w:rsidR="009F0340">
        <w:rPr>
          <w:szCs w:val="28"/>
        </w:rPr>
        <w:t>-</w:t>
      </w:r>
      <w:r w:rsidRPr="00A00CF4">
        <w:rPr>
          <w:szCs w:val="28"/>
        </w:rPr>
        <w:t>ФЗ «Об отходах производства и потребления».</w:t>
      </w:r>
    </w:p>
    <w:p w:rsidR="00A00CF4" w:rsidRPr="00A00CF4" w:rsidRDefault="00A00CF4" w:rsidP="006B3E89">
      <w:pPr>
        <w:ind w:firstLine="708"/>
        <w:jc w:val="both"/>
        <w:rPr>
          <w:szCs w:val="28"/>
        </w:rPr>
      </w:pPr>
      <w:r w:rsidRPr="00A00CF4">
        <w:rPr>
          <w:szCs w:val="28"/>
        </w:rPr>
        <w:t>Управление образования и молодежной политики: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- Не конкурентные, не обоснованные причинами необходимости и экономической целесообразности, закупки у единственного поставщика на проведение работ по антитеррористической защищенности учреждений образования (ст. 34 Бюджетного Кодекса РФ – нарушение принципа экономической эффективности (экономности) использования бюджетных средств)</w:t>
      </w:r>
      <w:r w:rsidR="00AA5A13">
        <w:rPr>
          <w:szCs w:val="28"/>
        </w:rPr>
        <w:t>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-</w:t>
      </w:r>
      <w:r w:rsidR="00980B8C">
        <w:rPr>
          <w:szCs w:val="28"/>
        </w:rPr>
        <w:t xml:space="preserve"> </w:t>
      </w:r>
      <w:r w:rsidRPr="00A00CF4">
        <w:rPr>
          <w:szCs w:val="28"/>
        </w:rPr>
        <w:t>Нарушение ч. 1 ст. 22 ФЗ-44 - отсутствие трех (как минимум) коммерческих предложений при обосновании начальной максимальной цены договора.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Отдел муниципального имущества и земельных ресурсов администрации Лысковского муниципального округа: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- п.4 ст.22, п.1 и 3 ст.65 Земельного Кодекса Российской Федерации (отсутствие договоров аренды на земельные участки при фактическом их использовании).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Объем проверенных средств при контрольных мероприятиях составил 259 474,10 руб.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Руководителям учреждений и структурных подразделений администрации направлены акты о необходимости устранения выявленных нарушений и замечаний, большая часть которых устранена, остальные находятся на контроле в комиссии. Вынесено 1 представление МКУ «Хозяйственно-эксплуатационная служба» Лысковского муниципального округа. По итогам проведенных контрольных мероприятий составлены отчеты, которые направлялись в Совет депутатов и Главе местного самоуправления.                                                                                                                                        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В рамках полномочий комиссии о контроле за выделенными бюджетными средствами в процессе их освоения, </w:t>
      </w:r>
      <w:r w:rsidR="00750FA7">
        <w:rPr>
          <w:szCs w:val="28"/>
        </w:rPr>
        <w:t>к</w:t>
      </w:r>
      <w:r w:rsidRPr="00A00CF4">
        <w:rPr>
          <w:szCs w:val="28"/>
        </w:rPr>
        <w:t xml:space="preserve">онтрольно-счетная комиссия провела ряд выездов на места производства работ. 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Так при осмотре ремонта настила к ключу у Оленьей горы были выявлены перепады настила более 1 см., отсутствие лавочек и проем в напольном покрытии в помещении для </w:t>
      </w:r>
      <w:r w:rsidRPr="00A00CF4">
        <w:rPr>
          <w:szCs w:val="28"/>
        </w:rPr>
        <w:lastRenderedPageBreak/>
        <w:t xml:space="preserve">набора воды. Недостатки были оперативно устранены Управлением по благоустройству и развитию территорий администрации Лысковского муниципального округа. 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При осмотре выполненных работ по ремонту перехода с ул. Маяковского на ул. Глинки было установлено, что диаметр опорных труб не соответствует диаметру, который заложен в смете, фактически он был меньше на 20 мм. Смета изменена, оплата была снижена на 22 870 руб. 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При производстве работ собственными силами по ремонту помещений </w:t>
      </w:r>
      <w:proofErr w:type="spellStart"/>
      <w:r w:rsidRPr="00A00CF4">
        <w:rPr>
          <w:szCs w:val="28"/>
        </w:rPr>
        <w:t>Просецкого</w:t>
      </w:r>
      <w:proofErr w:type="spellEnd"/>
      <w:r w:rsidRPr="00A00CF4">
        <w:rPr>
          <w:szCs w:val="28"/>
        </w:rPr>
        <w:t xml:space="preserve"> сельского клуба была составлена смета на его ремонт в сумме 381 900,00 руб. В ходе выполнения работ была произведена её корректировка. Так из сметы был исключен </w:t>
      </w:r>
      <w:proofErr w:type="spellStart"/>
      <w:r w:rsidRPr="00A00CF4">
        <w:rPr>
          <w:szCs w:val="28"/>
        </w:rPr>
        <w:t>бетоноконтакт</w:t>
      </w:r>
      <w:proofErr w:type="spellEnd"/>
      <w:r w:rsidRPr="00A00CF4">
        <w:rPr>
          <w:szCs w:val="28"/>
        </w:rPr>
        <w:t xml:space="preserve"> массой 92 кг. на сумму 30 000,00 руб., но был увеличен объем шпаклевки с 308 кг. до 600 кг</w:t>
      </w:r>
      <w:proofErr w:type="gramStart"/>
      <w:r w:rsidRPr="00A00CF4">
        <w:rPr>
          <w:szCs w:val="28"/>
        </w:rPr>
        <w:t>.</w:t>
      </w:r>
      <w:proofErr w:type="gramEnd"/>
      <w:r w:rsidRPr="00A00CF4">
        <w:rPr>
          <w:szCs w:val="28"/>
        </w:rPr>
        <w:t xml:space="preserve"> и штукатурки с 12 мешков до 120</w:t>
      </w:r>
      <w:r w:rsidR="00942418">
        <w:rPr>
          <w:szCs w:val="28"/>
        </w:rPr>
        <w:t>.</w:t>
      </w:r>
      <w:r w:rsidRPr="00A00CF4">
        <w:rPr>
          <w:szCs w:val="28"/>
        </w:rPr>
        <w:t xml:space="preserve"> Данные изменения незначительно увеличили стоимость материалов на 18 100,00 руб., однако в дальнейшем в целях недопущения ошибок и просчетов, при производстве работ собственными силами, необходимо привлечение специалистов по строительству из структурных подразделений администрации.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>В ходе контрольного мероприятия по использованию земельных ресурсов муниципального округа были обнаружены ряд нестационарных объектов</w:t>
      </w:r>
      <w:r w:rsidR="00980B8C">
        <w:rPr>
          <w:szCs w:val="28"/>
        </w:rPr>
        <w:t>,</w:t>
      </w:r>
      <w:r w:rsidRPr="00A00CF4">
        <w:rPr>
          <w:szCs w:val="28"/>
        </w:rPr>
        <w:t xml:space="preserve"> расположенных на муниципальных землях без оформления соответствующих договоров аренды, а также складирование пожароопасных материалов</w:t>
      </w:r>
      <w:r w:rsidR="00942418">
        <w:rPr>
          <w:szCs w:val="28"/>
        </w:rPr>
        <w:t>.</w:t>
      </w:r>
      <w:r w:rsidRPr="00A00CF4">
        <w:rPr>
          <w:szCs w:val="28"/>
        </w:rPr>
        <w:t xml:space="preserve"> Владельцы установлены к ним приняты соответствующие меры.</w:t>
      </w:r>
    </w:p>
    <w:p w:rsidR="00A00CF4" w:rsidRPr="00A00CF4" w:rsidRDefault="00A00CF4" w:rsidP="00AA5A13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При проведении контрольных мероприятий </w:t>
      </w:r>
      <w:r w:rsidR="00443C04">
        <w:rPr>
          <w:szCs w:val="28"/>
        </w:rPr>
        <w:t>к</w:t>
      </w:r>
      <w:r w:rsidRPr="00A00CF4">
        <w:rPr>
          <w:szCs w:val="28"/>
        </w:rPr>
        <w:t xml:space="preserve">онтрольно-счетной комиссией было направлено 13 запросов на предоставление дополнительной информации (объяснительные, пояснения, подтверждающие документы). </w:t>
      </w:r>
    </w:p>
    <w:p w:rsidR="00A00CF4" w:rsidRPr="00A00CF4" w:rsidRDefault="00A00CF4" w:rsidP="00A00CF4">
      <w:pPr>
        <w:jc w:val="both"/>
        <w:rPr>
          <w:szCs w:val="28"/>
        </w:rPr>
      </w:pPr>
    </w:p>
    <w:p w:rsidR="00A00CF4" w:rsidRPr="00A00CF4" w:rsidRDefault="00A00CF4" w:rsidP="00A00CF4">
      <w:pPr>
        <w:jc w:val="center"/>
        <w:rPr>
          <w:szCs w:val="28"/>
        </w:rPr>
      </w:pPr>
      <w:r w:rsidRPr="00A00CF4">
        <w:rPr>
          <w:szCs w:val="28"/>
        </w:rPr>
        <w:t>3. Экспертно-аналитическая деятельность</w:t>
      </w:r>
    </w:p>
    <w:p w:rsid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Одной из основных задач </w:t>
      </w:r>
      <w:r w:rsidR="00105ABD">
        <w:rPr>
          <w:szCs w:val="28"/>
        </w:rPr>
        <w:t>к</w:t>
      </w:r>
      <w:r w:rsidRPr="00A00CF4">
        <w:rPr>
          <w:szCs w:val="28"/>
        </w:rPr>
        <w:t xml:space="preserve">онтрольно-счетной комиссии в 2025 году было осуществление экспертно-аналитических мероприятий в целях контроля за исполнением местного бюджета, соблюдением установленного порядка подготовки и рассмотрения проекта местного бюджета, а также в обеспечении единой системы контроля за исполнением местного бюджета, соблюдением установленного порядка подготовки и рассмотрения проекта бюджета, внесение изменений в бюджет. Данные направления экспертно-аналитической деятельности контрольно-счетной комиссии сформированы в рамках полномочий контрольно-счетных органов, определенных статьями 157, 268.1 БК РФ, статьей 9 Федерального закона № 6-ФЗ.  Также в соответствии с п.7 статьи 10 Положения о контрольно-счетной комиссии Лысковского муниципального округа, на комиссию возложены полномочия по экспертизе проектов муниципальных правовых актов в части, касающейся расходных обязательств, экспертиза актов по изменению доходов бюджета, а также муниципальных программ и проектов муниципальных программ. За истекший 2025 год КСК было подготовлено 9 экспертно-аналитических мероприятий, по результатам которых подготовлены Заключения, в том числе: </w:t>
      </w:r>
    </w:p>
    <w:p w:rsidR="00A00CF4" w:rsidRDefault="00A00CF4" w:rsidP="00A00CF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A00CF4">
        <w:rPr>
          <w:szCs w:val="28"/>
        </w:rPr>
        <w:t>внешняя проверка годового отчета об исполнении бюджета Лысковского муниципального округа за 2025 год;</w:t>
      </w:r>
    </w:p>
    <w:p w:rsid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>- экспертиза проектов решений по внесению изменений в бюджет Лысковского округа на 2025 год и плановый период 2026-2027 годов.</w:t>
      </w:r>
    </w:p>
    <w:p w:rsidR="00A00CF4" w:rsidRP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>– экспертиза проекта решения Совета депутатов о бюджете Лысковского муниципального округа на 2026 год и на плановый период 2027-2028 годов. Объем бюджетных ассигнований, охваченных в ходе внешней проверки проекта бюджета</w:t>
      </w:r>
      <w:r w:rsidR="00261B35">
        <w:rPr>
          <w:szCs w:val="28"/>
        </w:rPr>
        <w:t>,</w:t>
      </w:r>
      <w:r w:rsidRPr="00A00CF4">
        <w:rPr>
          <w:szCs w:val="28"/>
        </w:rPr>
        <w:t xml:space="preserve"> составил 1 981 937,8 тыс. руб. В ходе экспертизы проекта решения о бюджете были рассмотрены вопросы соответствия проекта действующему законодательству и нормативно – правовым актам органов местного самоуправления, проведен анализ расчетов и документов предоставленных одновременно с проектом бюджета, дана оценка достоверности и полноты отражения доходов в доходной части бюджета, оценка запланированных бюджетных ассигнований на реализацию муниципальных программ, сделаны выводы о сбалансированности бюджета по доходам и расходам, о соблюдении обязательных </w:t>
      </w:r>
      <w:r w:rsidRPr="00A00CF4">
        <w:rPr>
          <w:szCs w:val="28"/>
        </w:rPr>
        <w:lastRenderedPageBreak/>
        <w:t>нормативов, установленных Бюджетным кодексом Российской Федерации.</w:t>
      </w:r>
      <w:r>
        <w:rPr>
          <w:szCs w:val="28"/>
        </w:rPr>
        <w:t xml:space="preserve"> </w:t>
      </w:r>
      <w:r w:rsidRPr="00A00CF4">
        <w:rPr>
          <w:szCs w:val="28"/>
        </w:rPr>
        <w:t>В течение 2025 года подготовлено 6 заключений на изменения в бюджет округа. Внесены ряд предложений по совершенствованию бюджетных расходов при проведении конкурсных процедур по закупкам.</w:t>
      </w:r>
    </w:p>
    <w:p w:rsidR="00A00CF4" w:rsidRPr="00A00CF4" w:rsidRDefault="00A00CF4" w:rsidP="00A00CF4">
      <w:pPr>
        <w:jc w:val="both"/>
        <w:rPr>
          <w:szCs w:val="28"/>
        </w:rPr>
      </w:pPr>
    </w:p>
    <w:p w:rsidR="00A00CF4" w:rsidRPr="00A00CF4" w:rsidRDefault="00A00CF4" w:rsidP="00A00CF4">
      <w:pPr>
        <w:jc w:val="center"/>
        <w:rPr>
          <w:szCs w:val="28"/>
        </w:rPr>
      </w:pPr>
      <w:r w:rsidRPr="00A00CF4">
        <w:rPr>
          <w:szCs w:val="28"/>
        </w:rPr>
        <w:t>4. Взаимодействие с другими органами контроля</w:t>
      </w:r>
    </w:p>
    <w:p w:rsidR="00A00CF4" w:rsidRDefault="00A00CF4" w:rsidP="00E3547F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Контрольно-счетная комиссия Лысковского муниципального округа сотрудничает с Контрольно-счетной палатой Нижегородской области, контрольно-счетными органами других муниципальных образований Нижегородской области по обмену информацией в плане обзора нарушений и недостатков, выявленных в ходе контрольных мероприятий.                                      В течение года по запросам направлялась информация в Контрольно-счетную палату Нижегородской области. Всероссийским Союзом МКСО в течение 2025 года было проведено 17 практических мероприятий и «круглых столов» в режиме видеоконференцсвязи, в которых КСК Лысковского округа приняла участие. Получены Удостоверения о повышении квалификации по дополнительным профессиональным программам «Муниципальный бюджет и муниципальные финансы в условиях реформы МСУ» и «Предупреждение коррупции в организациях». При проведении контрольных и экспертно-аналитических мероприятий КСК направлялись запросы в другие органы о предоставлении необходимой информации с целью более качественного проведения контроля. В процессе работы проблем, связанных с предоставлением информации из подведомственных учреждений муниципального округа и структурных подразделений </w:t>
      </w:r>
      <w:r w:rsidR="00EC54F7">
        <w:rPr>
          <w:szCs w:val="28"/>
        </w:rPr>
        <w:t>а</w:t>
      </w:r>
      <w:r w:rsidRPr="00A00CF4">
        <w:rPr>
          <w:szCs w:val="28"/>
        </w:rPr>
        <w:t>дминистрации</w:t>
      </w:r>
      <w:r w:rsidR="00EC54F7">
        <w:rPr>
          <w:szCs w:val="28"/>
        </w:rPr>
        <w:t>,</w:t>
      </w:r>
      <w:r w:rsidRPr="00A00CF4">
        <w:rPr>
          <w:szCs w:val="28"/>
        </w:rPr>
        <w:t xml:space="preserve"> не возникало. Есть понимание по совершенствованию мер в отношении экономного и эффективного расходования бюджетных средств в интересах населения округа, улучшения качества их жизни.</w:t>
      </w:r>
    </w:p>
    <w:p w:rsidR="00E3547F" w:rsidRPr="00A00CF4" w:rsidRDefault="00E3547F" w:rsidP="00E3547F">
      <w:pPr>
        <w:ind w:firstLine="708"/>
        <w:jc w:val="both"/>
        <w:rPr>
          <w:szCs w:val="28"/>
        </w:rPr>
      </w:pPr>
    </w:p>
    <w:p w:rsidR="00A00CF4" w:rsidRPr="00A00CF4" w:rsidRDefault="00A00CF4" w:rsidP="00A00CF4">
      <w:pPr>
        <w:jc w:val="center"/>
        <w:rPr>
          <w:szCs w:val="28"/>
        </w:rPr>
      </w:pPr>
      <w:r w:rsidRPr="00A00CF4">
        <w:rPr>
          <w:szCs w:val="28"/>
        </w:rPr>
        <w:t>5. Основные задачи на 2026 год</w:t>
      </w:r>
    </w:p>
    <w:p w:rsidR="00B10CF6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План работы </w:t>
      </w:r>
      <w:r w:rsidR="008527DB">
        <w:rPr>
          <w:szCs w:val="28"/>
        </w:rPr>
        <w:t>к</w:t>
      </w:r>
      <w:r w:rsidRPr="00A00CF4">
        <w:rPr>
          <w:szCs w:val="28"/>
        </w:rPr>
        <w:t xml:space="preserve">онтрольно-счетной комиссии на 2026 год утвержден распоряжением председателя контрольно-счетной комиссии 26 декабря 2025 года № 01-03/5 и размещен на официальном сайте </w:t>
      </w:r>
      <w:r w:rsidR="0037168B">
        <w:rPr>
          <w:szCs w:val="28"/>
        </w:rPr>
        <w:t>а</w:t>
      </w:r>
      <w:r w:rsidRPr="00A00CF4">
        <w:rPr>
          <w:szCs w:val="28"/>
        </w:rPr>
        <w:t>дминистрации Лысковского муниципального округа. Основные контрольные мероприятия будут проводиться в сфере жилищно-коммунального хозяйства, запланирована проверка МУП «Биологические очистные сооружения», программа развития социальной и инженерной инфраструктуры, объектов культурной деятельности. В тоже время</w:t>
      </w:r>
      <w:r w:rsidR="009F0340">
        <w:rPr>
          <w:szCs w:val="28"/>
        </w:rPr>
        <w:t>,</w:t>
      </w:r>
      <w:r w:rsidRPr="00A00CF4">
        <w:rPr>
          <w:szCs w:val="28"/>
        </w:rPr>
        <w:t xml:space="preserve"> не ослабляя контроля за организацией бюджетного процесса, использование бюджетных средств и муниципальной собственности.</w:t>
      </w:r>
    </w:p>
    <w:p w:rsidR="00A00CF4" w:rsidRP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>Продолжится оказание консультативной и методологической помощи муниципальным учреждениям и организациям с целью предупреждения и недопущения неэффективных расходов, нарушений в бюджетной сфере и противодействия коррупции. Плановый, систематический контроль за качеством работ в процессе их исполнения позволит избежать нарушений проектно-сметной документации и технических заданий.</w:t>
      </w:r>
    </w:p>
    <w:p w:rsidR="00A00CF4" w:rsidRPr="00A00CF4" w:rsidRDefault="00A00CF4" w:rsidP="00A00CF4">
      <w:pPr>
        <w:ind w:firstLine="708"/>
        <w:jc w:val="both"/>
        <w:rPr>
          <w:szCs w:val="28"/>
        </w:rPr>
      </w:pPr>
      <w:r w:rsidRPr="00A00CF4">
        <w:rPr>
          <w:szCs w:val="28"/>
        </w:rPr>
        <w:t xml:space="preserve">Основной задачей КСК было и остается – это совместно со всеми органами Государственной власти и Местного самоуправления совершенствовать работу по увеличению доходов в местный бюджет, повышение эффективности управления муниципальными ресурсами на всех этапах бюджетного процесса, выявление и предупреждение рисков, способных оказывать негативное влияние на законность и эффективность использования бюджетных средств округа.  </w:t>
      </w:r>
    </w:p>
    <w:sectPr w:rsidR="00A00CF4" w:rsidRPr="00A00CF4" w:rsidSect="005B4CB5">
      <w:headerReference w:type="default" r:id="rId9"/>
      <w:headerReference w:type="first" r:id="rId10"/>
      <w:footerReference w:type="first" r:id="rId11"/>
      <w:pgSz w:w="11906" w:h="16838"/>
      <w:pgMar w:top="1077" w:right="1134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DE" w:rsidRDefault="00DC0CDE">
      <w:r>
        <w:separator/>
      </w:r>
    </w:p>
  </w:endnote>
  <w:endnote w:type="continuationSeparator" w:id="0">
    <w:p w:rsidR="00DC0CDE" w:rsidRDefault="00DC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4E" w:rsidRDefault="00A83D4E" w:rsidP="00666E9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DE" w:rsidRDefault="00DC0CDE">
      <w:r>
        <w:separator/>
      </w:r>
    </w:p>
  </w:footnote>
  <w:footnote w:type="continuationSeparator" w:id="0">
    <w:p w:rsidR="00DC0CDE" w:rsidRDefault="00DC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B0" w:rsidRDefault="002F73B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3BB">
      <w:rPr>
        <w:noProof/>
      </w:rPr>
      <w:t>9</w:t>
    </w:r>
    <w:r>
      <w:fldChar w:fldCharType="end"/>
    </w:r>
  </w:p>
  <w:p w:rsidR="002F73B0" w:rsidRDefault="002F73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5E3" w:rsidRPr="00771795" w:rsidRDefault="000055E3" w:rsidP="000055E3">
    <w:pPr>
      <w:pStyle w:val="a9"/>
      <w:jc w:val="right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B26"/>
    <w:multiLevelType w:val="hybridMultilevel"/>
    <w:tmpl w:val="070E24F0"/>
    <w:lvl w:ilvl="0" w:tplc="61F2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9412EF"/>
    <w:multiLevelType w:val="hybridMultilevel"/>
    <w:tmpl w:val="D712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7C4B"/>
    <w:multiLevelType w:val="hybridMultilevel"/>
    <w:tmpl w:val="C6B8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026A"/>
    <w:multiLevelType w:val="hybridMultilevel"/>
    <w:tmpl w:val="A9A464AC"/>
    <w:lvl w:ilvl="0" w:tplc="46EAC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253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1284D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C7DCC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71851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65D09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A5567"/>
    <w:multiLevelType w:val="hybridMultilevel"/>
    <w:tmpl w:val="EEC8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6262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1070B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56AD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E3B22"/>
    <w:multiLevelType w:val="hybridMultilevel"/>
    <w:tmpl w:val="D6BC6A90"/>
    <w:lvl w:ilvl="0" w:tplc="9F585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8D5D1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9"/>
    <w:rsid w:val="00004B81"/>
    <w:rsid w:val="000055E3"/>
    <w:rsid w:val="00011882"/>
    <w:rsid w:val="00024000"/>
    <w:rsid w:val="00027097"/>
    <w:rsid w:val="0003053E"/>
    <w:rsid w:val="00032116"/>
    <w:rsid w:val="000356E0"/>
    <w:rsid w:val="00040700"/>
    <w:rsid w:val="0004125F"/>
    <w:rsid w:val="00047837"/>
    <w:rsid w:val="000542CD"/>
    <w:rsid w:val="000547D6"/>
    <w:rsid w:val="000821A8"/>
    <w:rsid w:val="00095394"/>
    <w:rsid w:val="000A6DC1"/>
    <w:rsid w:val="000C3A25"/>
    <w:rsid w:val="000C4FCB"/>
    <w:rsid w:val="000C6EF6"/>
    <w:rsid w:val="000D200B"/>
    <w:rsid w:val="000D3E44"/>
    <w:rsid w:val="000E4122"/>
    <w:rsid w:val="000E64BF"/>
    <w:rsid w:val="000F0CB4"/>
    <w:rsid w:val="00105ABD"/>
    <w:rsid w:val="00116027"/>
    <w:rsid w:val="0012420C"/>
    <w:rsid w:val="00143FDE"/>
    <w:rsid w:val="00166122"/>
    <w:rsid w:val="00173C50"/>
    <w:rsid w:val="00183DCF"/>
    <w:rsid w:val="001C5064"/>
    <w:rsid w:val="001F315C"/>
    <w:rsid w:val="001F3BFA"/>
    <w:rsid w:val="00211D02"/>
    <w:rsid w:val="00221C68"/>
    <w:rsid w:val="00221F70"/>
    <w:rsid w:val="00225ADA"/>
    <w:rsid w:val="00256D66"/>
    <w:rsid w:val="00257B66"/>
    <w:rsid w:val="00261B35"/>
    <w:rsid w:val="0026654C"/>
    <w:rsid w:val="00275786"/>
    <w:rsid w:val="00277D12"/>
    <w:rsid w:val="00292651"/>
    <w:rsid w:val="002A4987"/>
    <w:rsid w:val="002B2AFF"/>
    <w:rsid w:val="002B4A82"/>
    <w:rsid w:val="002E49F7"/>
    <w:rsid w:val="002F2019"/>
    <w:rsid w:val="002F4992"/>
    <w:rsid w:val="002F73B0"/>
    <w:rsid w:val="00304A23"/>
    <w:rsid w:val="00306DDD"/>
    <w:rsid w:val="00320F0F"/>
    <w:rsid w:val="0032683D"/>
    <w:rsid w:val="0032729F"/>
    <w:rsid w:val="00344990"/>
    <w:rsid w:val="00345725"/>
    <w:rsid w:val="00350BE6"/>
    <w:rsid w:val="00352C51"/>
    <w:rsid w:val="0037168B"/>
    <w:rsid w:val="0038559C"/>
    <w:rsid w:val="0038769C"/>
    <w:rsid w:val="003926DF"/>
    <w:rsid w:val="003A2A84"/>
    <w:rsid w:val="003A61DB"/>
    <w:rsid w:val="003C5742"/>
    <w:rsid w:val="003D5C12"/>
    <w:rsid w:val="004119FA"/>
    <w:rsid w:val="00414868"/>
    <w:rsid w:val="004246F1"/>
    <w:rsid w:val="004319C9"/>
    <w:rsid w:val="00433D8E"/>
    <w:rsid w:val="004373FF"/>
    <w:rsid w:val="00437BE5"/>
    <w:rsid w:val="00443C04"/>
    <w:rsid w:val="0045159D"/>
    <w:rsid w:val="00464665"/>
    <w:rsid w:val="0046712B"/>
    <w:rsid w:val="0047559F"/>
    <w:rsid w:val="00480A0C"/>
    <w:rsid w:val="00494F17"/>
    <w:rsid w:val="0049676E"/>
    <w:rsid w:val="004C377F"/>
    <w:rsid w:val="004D5811"/>
    <w:rsid w:val="004E2FD6"/>
    <w:rsid w:val="004E64EB"/>
    <w:rsid w:val="00507739"/>
    <w:rsid w:val="005319C4"/>
    <w:rsid w:val="00534E79"/>
    <w:rsid w:val="00552B56"/>
    <w:rsid w:val="00554D62"/>
    <w:rsid w:val="0055604F"/>
    <w:rsid w:val="00557965"/>
    <w:rsid w:val="00576891"/>
    <w:rsid w:val="00587271"/>
    <w:rsid w:val="00596ED7"/>
    <w:rsid w:val="005A344F"/>
    <w:rsid w:val="005A6B79"/>
    <w:rsid w:val="005B1446"/>
    <w:rsid w:val="005B4CB5"/>
    <w:rsid w:val="005B7CD8"/>
    <w:rsid w:val="005C062B"/>
    <w:rsid w:val="005C74B7"/>
    <w:rsid w:val="005C7818"/>
    <w:rsid w:val="005D7CAF"/>
    <w:rsid w:val="005E020C"/>
    <w:rsid w:val="005E117A"/>
    <w:rsid w:val="005E7AAC"/>
    <w:rsid w:val="005F75C1"/>
    <w:rsid w:val="00603EA4"/>
    <w:rsid w:val="00612F5B"/>
    <w:rsid w:val="006234B8"/>
    <w:rsid w:val="00626773"/>
    <w:rsid w:val="006307FD"/>
    <w:rsid w:val="00630D44"/>
    <w:rsid w:val="006467ED"/>
    <w:rsid w:val="0065093B"/>
    <w:rsid w:val="00657DD1"/>
    <w:rsid w:val="006657C2"/>
    <w:rsid w:val="00666376"/>
    <w:rsid w:val="00666840"/>
    <w:rsid w:val="00666E95"/>
    <w:rsid w:val="006951F9"/>
    <w:rsid w:val="006A437F"/>
    <w:rsid w:val="006B0CEE"/>
    <w:rsid w:val="006B2A29"/>
    <w:rsid w:val="006B3E89"/>
    <w:rsid w:val="006B4513"/>
    <w:rsid w:val="006D5B54"/>
    <w:rsid w:val="006D7333"/>
    <w:rsid w:val="006F0B2B"/>
    <w:rsid w:val="007110B3"/>
    <w:rsid w:val="00743C81"/>
    <w:rsid w:val="00750FA7"/>
    <w:rsid w:val="00752BC2"/>
    <w:rsid w:val="00757C55"/>
    <w:rsid w:val="00761A55"/>
    <w:rsid w:val="00761F88"/>
    <w:rsid w:val="00771795"/>
    <w:rsid w:val="007744BC"/>
    <w:rsid w:val="007818C2"/>
    <w:rsid w:val="007822C4"/>
    <w:rsid w:val="00784C9C"/>
    <w:rsid w:val="007A2990"/>
    <w:rsid w:val="007A307D"/>
    <w:rsid w:val="007A3808"/>
    <w:rsid w:val="007A6258"/>
    <w:rsid w:val="007C2524"/>
    <w:rsid w:val="007E040A"/>
    <w:rsid w:val="007F5461"/>
    <w:rsid w:val="007F6F9E"/>
    <w:rsid w:val="008038AA"/>
    <w:rsid w:val="00806AB1"/>
    <w:rsid w:val="0080753A"/>
    <w:rsid w:val="00820552"/>
    <w:rsid w:val="00843D78"/>
    <w:rsid w:val="008527DB"/>
    <w:rsid w:val="00860B8C"/>
    <w:rsid w:val="0086406A"/>
    <w:rsid w:val="008760F5"/>
    <w:rsid w:val="008763BA"/>
    <w:rsid w:val="0088663A"/>
    <w:rsid w:val="00886F44"/>
    <w:rsid w:val="008A3CDE"/>
    <w:rsid w:val="008A7319"/>
    <w:rsid w:val="008C697C"/>
    <w:rsid w:val="008D5592"/>
    <w:rsid w:val="008E67C7"/>
    <w:rsid w:val="008F5DCA"/>
    <w:rsid w:val="00904CD3"/>
    <w:rsid w:val="009060BA"/>
    <w:rsid w:val="0091553A"/>
    <w:rsid w:val="009222F3"/>
    <w:rsid w:val="00932EB9"/>
    <w:rsid w:val="00940A84"/>
    <w:rsid w:val="00942418"/>
    <w:rsid w:val="00944850"/>
    <w:rsid w:val="0095606D"/>
    <w:rsid w:val="00963ED5"/>
    <w:rsid w:val="00966232"/>
    <w:rsid w:val="009737C0"/>
    <w:rsid w:val="00975866"/>
    <w:rsid w:val="00976754"/>
    <w:rsid w:val="00980B8C"/>
    <w:rsid w:val="00985849"/>
    <w:rsid w:val="009967C5"/>
    <w:rsid w:val="00997361"/>
    <w:rsid w:val="009B7AC8"/>
    <w:rsid w:val="009D016D"/>
    <w:rsid w:val="009D54F4"/>
    <w:rsid w:val="009D70F7"/>
    <w:rsid w:val="009F0340"/>
    <w:rsid w:val="009F157E"/>
    <w:rsid w:val="009F177D"/>
    <w:rsid w:val="009F2071"/>
    <w:rsid w:val="009F4CA6"/>
    <w:rsid w:val="009F6BDB"/>
    <w:rsid w:val="00A00CF4"/>
    <w:rsid w:val="00A013F9"/>
    <w:rsid w:val="00A06593"/>
    <w:rsid w:val="00A1172B"/>
    <w:rsid w:val="00A146E9"/>
    <w:rsid w:val="00A17C40"/>
    <w:rsid w:val="00A223BB"/>
    <w:rsid w:val="00A2416F"/>
    <w:rsid w:val="00A24754"/>
    <w:rsid w:val="00A34C9B"/>
    <w:rsid w:val="00A35144"/>
    <w:rsid w:val="00A3774F"/>
    <w:rsid w:val="00A431B1"/>
    <w:rsid w:val="00A51C31"/>
    <w:rsid w:val="00A51D96"/>
    <w:rsid w:val="00A80849"/>
    <w:rsid w:val="00A83D4E"/>
    <w:rsid w:val="00A85F2E"/>
    <w:rsid w:val="00A92CDE"/>
    <w:rsid w:val="00AA5A13"/>
    <w:rsid w:val="00AC02AC"/>
    <w:rsid w:val="00AE70CF"/>
    <w:rsid w:val="00AE7841"/>
    <w:rsid w:val="00AF30C5"/>
    <w:rsid w:val="00B0311F"/>
    <w:rsid w:val="00B10CF6"/>
    <w:rsid w:val="00B160C1"/>
    <w:rsid w:val="00B23F0E"/>
    <w:rsid w:val="00B349D7"/>
    <w:rsid w:val="00B41B0D"/>
    <w:rsid w:val="00B42377"/>
    <w:rsid w:val="00B44461"/>
    <w:rsid w:val="00B44E22"/>
    <w:rsid w:val="00B52C4F"/>
    <w:rsid w:val="00B57A6F"/>
    <w:rsid w:val="00B66D5D"/>
    <w:rsid w:val="00B71E8A"/>
    <w:rsid w:val="00B74B54"/>
    <w:rsid w:val="00B93465"/>
    <w:rsid w:val="00BD77A4"/>
    <w:rsid w:val="00BE0A12"/>
    <w:rsid w:val="00BE2E0F"/>
    <w:rsid w:val="00C20F36"/>
    <w:rsid w:val="00C421D5"/>
    <w:rsid w:val="00C45CEE"/>
    <w:rsid w:val="00C47D46"/>
    <w:rsid w:val="00C66DF4"/>
    <w:rsid w:val="00C80FB7"/>
    <w:rsid w:val="00C92D27"/>
    <w:rsid w:val="00CB37E2"/>
    <w:rsid w:val="00CC373A"/>
    <w:rsid w:val="00CC74E4"/>
    <w:rsid w:val="00CE0DC2"/>
    <w:rsid w:val="00CE4CEE"/>
    <w:rsid w:val="00CE7120"/>
    <w:rsid w:val="00CF00DE"/>
    <w:rsid w:val="00CF14A3"/>
    <w:rsid w:val="00D10A07"/>
    <w:rsid w:val="00D4186C"/>
    <w:rsid w:val="00D50B04"/>
    <w:rsid w:val="00D5449A"/>
    <w:rsid w:val="00D6728E"/>
    <w:rsid w:val="00D72DB9"/>
    <w:rsid w:val="00DC0CDE"/>
    <w:rsid w:val="00DD0462"/>
    <w:rsid w:val="00DD6CE7"/>
    <w:rsid w:val="00DD73F8"/>
    <w:rsid w:val="00DE103C"/>
    <w:rsid w:val="00DE7986"/>
    <w:rsid w:val="00E02157"/>
    <w:rsid w:val="00E04804"/>
    <w:rsid w:val="00E04A08"/>
    <w:rsid w:val="00E071C7"/>
    <w:rsid w:val="00E10326"/>
    <w:rsid w:val="00E17E78"/>
    <w:rsid w:val="00E22ED5"/>
    <w:rsid w:val="00E23D5A"/>
    <w:rsid w:val="00E3547F"/>
    <w:rsid w:val="00E516EC"/>
    <w:rsid w:val="00E63619"/>
    <w:rsid w:val="00E705AA"/>
    <w:rsid w:val="00E731DF"/>
    <w:rsid w:val="00E735A5"/>
    <w:rsid w:val="00E80222"/>
    <w:rsid w:val="00E817D3"/>
    <w:rsid w:val="00E93395"/>
    <w:rsid w:val="00EA3BC2"/>
    <w:rsid w:val="00EB12A8"/>
    <w:rsid w:val="00EC320A"/>
    <w:rsid w:val="00EC3888"/>
    <w:rsid w:val="00EC54F7"/>
    <w:rsid w:val="00EE354C"/>
    <w:rsid w:val="00F40A87"/>
    <w:rsid w:val="00F45F68"/>
    <w:rsid w:val="00F4618C"/>
    <w:rsid w:val="00F554D0"/>
    <w:rsid w:val="00F617D8"/>
    <w:rsid w:val="00F62D15"/>
    <w:rsid w:val="00F911E9"/>
    <w:rsid w:val="00FA73DF"/>
    <w:rsid w:val="00FC6EEB"/>
    <w:rsid w:val="00FD18C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DE3"/>
  <w15:chartTrackingRefBased/>
  <w15:docId w15:val="{6E2BE5EB-04C6-4237-A11E-5A66BCDC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paragraph" w:customStyle="1" w:styleId="ConsNormal">
    <w:name w:val="ConsNormal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4">
    <w:name w:val="xl3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4"/>
      <w:szCs w:val="1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caption"/>
    <w:basedOn w:val="a"/>
    <w:next w:val="a"/>
    <w:uiPriority w:val="99"/>
    <w:qFormat/>
    <w:pPr>
      <w:autoSpaceDE w:val="0"/>
      <w:autoSpaceDN w:val="0"/>
      <w:spacing w:line="360" w:lineRule="auto"/>
      <w:ind w:right="-2"/>
      <w:jc w:val="center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ae">
    <w:name w:val="page number"/>
  </w:style>
  <w:style w:type="paragraph" w:styleId="af">
    <w:name w:val="No Spacing"/>
    <w:uiPriority w:val="1"/>
    <w:qFormat/>
    <w:rPr>
      <w:rFonts w:ascii="Times New Roman" w:eastAsia="Times New Roman" w:hAnsi="Times New Roman"/>
    </w:rPr>
  </w:style>
  <w:style w:type="paragraph" w:customStyle="1" w:styleId="af0">
    <w:name w:val="Нормальный"/>
    <w:rsid w:val="009F15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0821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5BFF-FBF3-448D-97F1-D124DAF9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2022-02-24T05:41:00Z</cp:lastPrinted>
  <dcterms:created xsi:type="dcterms:W3CDTF">2026-04-13T11:08:00Z</dcterms:created>
  <dcterms:modified xsi:type="dcterms:W3CDTF">2026-04-23T11:31:00Z</dcterms:modified>
</cp:coreProperties>
</file>